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AB7" w:rsidRDefault="004B7AB7">
      <w:pPr>
        <w:rPr>
          <w:b/>
          <w:sz w:val="28"/>
          <w:szCs w:val="28"/>
        </w:rPr>
      </w:pPr>
      <w:r w:rsidRPr="004B7AB7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4B7AB7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4B7AB7" w:rsidRDefault="004B7AB7">
      <w:pPr>
        <w:jc w:val="both"/>
        <w:rPr>
          <w:rFonts w:ascii="PT Astra Serif" w:hAnsi="PT Astra Serif" w:cs="PT Astra Serif"/>
          <w:sz w:val="28"/>
          <w:szCs w:val="28"/>
        </w:rPr>
      </w:pPr>
    </w:p>
    <w:p w:rsidR="004B7AB7" w:rsidRDefault="00824A97">
      <w:pPr>
        <w:spacing w:line="276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Обязательный профилактический визит: что это и как он проводится</w:t>
      </w:r>
    </w:p>
    <w:p w:rsidR="004B7AB7" w:rsidRDefault="00824A97">
      <w:pPr>
        <w:spacing w:line="276" w:lineRule="auto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tab/>
        <w:t xml:space="preserve">Обязательный профилактический визит является профилактическим мероприятием по </w:t>
      </w:r>
      <w:r>
        <w:rPr>
          <w:rFonts w:ascii="PT Astra Serif" w:eastAsia="PT Astra Serif" w:hAnsi="PT Astra Serif" w:cs="PT Astra Serif"/>
          <w:sz w:val="28"/>
          <w:szCs w:val="28"/>
        </w:rPr>
        <w:t>предупреждению нарушений земельного законодательства. Данные мероприятия проводят государственные инспекторы по использованию и охране земель - сотрудники новосибирского Росреестра.</w:t>
      </w:r>
    </w:p>
    <w:p w:rsidR="004B7AB7" w:rsidRDefault="00824A97">
      <w:pPr>
        <w:spacing w:line="276" w:lineRule="auto"/>
        <w:ind w:firstLine="708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i/>
          <w:sz w:val="28"/>
          <w:szCs w:val="28"/>
        </w:rPr>
        <w:t xml:space="preserve">«По </w:t>
      </w:r>
      <w:proofErr w:type="gramStart"/>
      <w:r>
        <w:rPr>
          <w:rFonts w:ascii="PT Astra Serif" w:eastAsia="PT Astra Serif" w:hAnsi="PT Astra Serif" w:cs="PT Astra Serif"/>
          <w:i/>
          <w:sz w:val="28"/>
          <w:szCs w:val="28"/>
        </w:rPr>
        <w:t>сути</w:t>
      </w:r>
      <w:proofErr w:type="gramEnd"/>
      <w:r>
        <w:rPr>
          <w:rFonts w:ascii="PT Astra Serif" w:eastAsia="PT Astra Serif" w:hAnsi="PT Astra Serif" w:cs="PT Astra Serif"/>
          <w:i/>
          <w:sz w:val="28"/>
          <w:szCs w:val="28"/>
        </w:rPr>
        <w:t xml:space="preserve"> государственные инспекторы проводят профилактические беседы с вла</w:t>
      </w:r>
      <w:r>
        <w:rPr>
          <w:rFonts w:ascii="PT Astra Serif" w:eastAsia="PT Astra Serif" w:hAnsi="PT Astra Serif" w:cs="PT Astra Serif"/>
          <w:i/>
          <w:sz w:val="28"/>
          <w:szCs w:val="28"/>
        </w:rPr>
        <w:t xml:space="preserve">дельцами земельных участков с выездом на место или через </w:t>
      </w:r>
      <w:proofErr w:type="spellStart"/>
      <w:r>
        <w:rPr>
          <w:rFonts w:ascii="PT Astra Serif" w:eastAsia="PT Astra Serif" w:hAnsi="PT Astra Serif" w:cs="PT Astra Serif"/>
          <w:i/>
          <w:sz w:val="28"/>
          <w:szCs w:val="28"/>
        </w:rPr>
        <w:t>видео-конференц-связь</w:t>
      </w:r>
      <w:proofErr w:type="spellEnd"/>
      <w:r>
        <w:rPr>
          <w:rFonts w:ascii="PT Astra Serif" w:eastAsia="PT Astra Serif" w:hAnsi="PT Astra Serif" w:cs="PT Astra Serif"/>
          <w:i/>
          <w:sz w:val="28"/>
          <w:szCs w:val="28"/>
        </w:rPr>
        <w:t xml:space="preserve"> при помощи мобильного приложения «Инспектор». </w:t>
      </w:r>
      <w:proofErr w:type="gramStart"/>
      <w:r>
        <w:rPr>
          <w:rFonts w:ascii="PT Astra Serif" w:eastAsia="PT Astra Serif" w:hAnsi="PT Astra Serif" w:cs="PT Astra Serif"/>
          <w:i/>
          <w:sz w:val="28"/>
          <w:szCs w:val="28"/>
        </w:rPr>
        <w:t>В ходе беседы инспектор разъясняет обязательных требованиях земельного законодательства, предупреждает о возможных нарушениях и нео</w:t>
      </w:r>
      <w:r>
        <w:rPr>
          <w:rFonts w:ascii="PT Astra Serif" w:eastAsia="PT Astra Serif" w:hAnsi="PT Astra Serif" w:cs="PT Astra Serif"/>
          <w:i/>
          <w:sz w:val="28"/>
          <w:szCs w:val="28"/>
        </w:rPr>
        <w:t>бходимости использовании земельного участка в установленных в реестре недвижимости границах и виду разрешенного использования»,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- сообщил заместитель руководителя Управления Росреестра по Новосибирской области </w:t>
      </w:r>
      <w:r>
        <w:rPr>
          <w:rFonts w:ascii="PT Astra Serif" w:eastAsia="PT Astra Serif" w:hAnsi="PT Astra Serif" w:cs="PT Astra Serif"/>
          <w:b/>
          <w:sz w:val="28"/>
          <w:szCs w:val="28"/>
        </w:rPr>
        <w:t>Иван Пархоменко</w:t>
      </w:r>
      <w:r>
        <w:rPr>
          <w:rFonts w:ascii="PT Astra Serif" w:eastAsia="PT Astra Serif" w:hAnsi="PT Astra Serif" w:cs="PT Astra Serif"/>
          <w:sz w:val="28"/>
          <w:szCs w:val="28"/>
        </w:rPr>
        <w:t>.</w:t>
      </w:r>
      <w:proofErr w:type="gramEnd"/>
    </w:p>
    <w:p w:rsidR="004B7AB7" w:rsidRDefault="00824A97">
      <w:pPr>
        <w:spacing w:line="276" w:lineRule="auto"/>
        <w:ind w:firstLine="708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</w:rPr>
        <w:t>Во время проведения обязатель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ного профилактического визита инспектор также может провести 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осмотр, запросить документы и выполнить инструментальное обследование. </w:t>
      </w:r>
    </w:p>
    <w:p w:rsidR="004B7AB7" w:rsidRDefault="00824A97">
      <w:pPr>
        <w:spacing w:line="276" w:lineRule="auto"/>
        <w:ind w:firstLine="708"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Владельцы земельных участков заблаговременно получают уведомление о проведении профилактических мероприятий через личный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кабинет на портале Госуслуг. </w:t>
      </w:r>
    </w:p>
    <w:p w:rsidR="004B7AB7" w:rsidRDefault="00824A97">
      <w:pPr>
        <w:spacing w:line="276" w:lineRule="auto"/>
        <w:ind w:firstLine="708"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По результатам профилактического визита инспектор оформляет акт. В случае выявления нарушений земельного законодательства правообладателю выдается предписание об их устранении.</w:t>
      </w:r>
    </w:p>
    <w:p w:rsidR="004B7AB7" w:rsidRDefault="00824A97">
      <w:pPr>
        <w:spacing w:line="276" w:lineRule="auto"/>
        <w:ind w:firstLine="708"/>
        <w:jc w:val="both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bookmarkStart w:id="0" w:name="_GoBack"/>
      <w:bookmarkEnd w:id="0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Периодичность проведения профилактических визито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в зависит от категории риска земельного участка. </w:t>
      </w:r>
      <w:proofErr w:type="gram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Так, визиты на участки, </w:t>
      </w:r>
      <w:r>
        <w:rPr>
          <w:rFonts w:ascii="PT Astra Serif" w:eastAsia="PT Astra Serif" w:hAnsi="PT Astra Serif" w:cs="PT Astra Serif"/>
          <w:sz w:val="28"/>
          <w:szCs w:val="28"/>
        </w:rPr>
        <w:t>граничащие с береговой полосой водных объектов, свалками или кладбищами, проводятся не чаще одного раза в 5 лет, а на земли населённых пунктов, промышленности или сельхозназначения, г</w:t>
      </w:r>
      <w:r>
        <w:rPr>
          <w:rFonts w:ascii="PT Astra Serif" w:eastAsia="PT Astra Serif" w:hAnsi="PT Astra Serif" w:cs="PT Astra Serif"/>
          <w:sz w:val="28"/>
          <w:szCs w:val="28"/>
        </w:rPr>
        <w:t>раничащие со смежными ка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 xml:space="preserve">тегориями (например, населённые пункты с землями лесного фонда, промышленные земли с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сельхозугодьями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) – не чаще одного раза в 6 лет.</w:t>
      </w:r>
      <w:proofErr w:type="gramEnd"/>
    </w:p>
    <w:p w:rsidR="004B7AB7" w:rsidRDefault="00824A97">
      <w:pPr>
        <w:spacing w:line="276" w:lineRule="auto"/>
        <w:ind w:firstLine="708"/>
        <w:jc w:val="both"/>
        <w:rPr>
          <w:rFonts w:ascii="PT Astra Serif" w:hAnsi="PT Astra Serif" w:cs="PT Astra Serif"/>
          <w:highlight w:val="yellow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lastRenderedPageBreak/>
        <w:t>Перечни земельных участков, в отношении которых в 2026 году будут проведены обязательные профилакти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 xml:space="preserve">ческие визиты опубликованы в составе программы профилактики рисков причинения вреда (ущерба) охраняемым законом ценностям в рамках осуществления федерального государственного земельного контроля (надзора) и федерального государственного контроля (надзора)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 xml:space="preserve">в области геодезии и картографии, с которой можно ознакомиться в региональном блоке официального сайта Росреестра в сети Интернет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rosreestr.gov.ru</w:t>
      </w:r>
      <w:proofErr w:type="spellEnd"/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 xml:space="preserve"> в разделе «Открытая служба – Проведение про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верок – Государственный земельный надзор – Профилактика нарушений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- 2026». </w:t>
      </w:r>
    </w:p>
    <w:p w:rsidR="004B7AB7" w:rsidRDefault="004B7AB7">
      <w:pPr>
        <w:ind w:firstLine="720"/>
        <w:jc w:val="both"/>
        <w:rPr>
          <w:rFonts w:ascii="PT Astra Serif" w:hAnsi="PT Astra Serif" w:cs="PT Astra Serif"/>
          <w:sz w:val="28"/>
          <w:szCs w:val="28"/>
        </w:rPr>
      </w:pPr>
    </w:p>
    <w:p w:rsidR="004B7AB7" w:rsidRDefault="004B7AB7">
      <w:pPr>
        <w:ind w:firstLine="720"/>
        <w:jc w:val="both"/>
        <w:rPr>
          <w:rFonts w:ascii="PT Astra Serif" w:hAnsi="PT Astra Serif" w:cs="PT Astra Serif"/>
          <w:sz w:val="28"/>
          <w:szCs w:val="28"/>
        </w:rPr>
      </w:pPr>
    </w:p>
    <w:p w:rsidR="004B7AB7" w:rsidRDefault="004B7AB7">
      <w:pPr>
        <w:ind w:firstLine="720"/>
        <w:jc w:val="both"/>
        <w:rPr>
          <w:rFonts w:ascii="PT Astra Serif" w:hAnsi="PT Astra Serif" w:cs="PT Astra Serif"/>
          <w:sz w:val="28"/>
          <w:szCs w:val="28"/>
        </w:rPr>
      </w:pPr>
    </w:p>
    <w:p w:rsidR="004B7AB7" w:rsidRDefault="00824A9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4B7AB7" w:rsidRDefault="00824A9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4B7AB7" w:rsidRDefault="004B7AB7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4B7AB7" w:rsidRDefault="004B7AB7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4B7AB7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4B7AB7" w:rsidRDefault="00824A97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4B7AB7" w:rsidRDefault="00824A97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4B7AB7" w:rsidRDefault="004B7AB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4B7AB7" w:rsidRDefault="00824A9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4B7AB7" w:rsidRDefault="00824A9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4B7AB7" w:rsidRDefault="00824A9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4B7AB7" w:rsidRDefault="00824A9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824A97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4B7AB7" w:rsidRDefault="004B7AB7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824A97">
          <w:rPr>
            <w:rStyle w:val="11"/>
            <w:rFonts w:ascii="Segoe UI" w:hAnsi="Segoe UI" w:cs="Segoe UI"/>
            <w:sz w:val="18"/>
            <w:lang w:val="en-US"/>
          </w:rPr>
          <w:t>oko</w:t>
        </w:r>
        <w:r w:rsidR="00824A97" w:rsidRPr="00824A97">
          <w:rPr>
            <w:rStyle w:val="11"/>
            <w:rFonts w:ascii="Segoe UI" w:hAnsi="Segoe UI" w:cs="Segoe UI"/>
            <w:sz w:val="18"/>
          </w:rPr>
          <w:t>@</w:t>
        </w:r>
        <w:r w:rsidR="00824A97">
          <w:rPr>
            <w:rStyle w:val="11"/>
            <w:rFonts w:ascii="Segoe UI" w:hAnsi="Segoe UI" w:cs="Segoe UI"/>
            <w:sz w:val="18"/>
            <w:lang w:val="en-US"/>
          </w:rPr>
          <w:t>r</w:t>
        </w:r>
        <w:r w:rsidR="00824A97">
          <w:rPr>
            <w:rStyle w:val="11"/>
            <w:rFonts w:ascii="Segoe UI" w:hAnsi="Segoe UI" w:cs="Segoe UI"/>
            <w:sz w:val="18"/>
          </w:rPr>
          <w:t>54</w:t>
        </w:r>
        <w:r w:rsidR="00824A97" w:rsidRPr="00824A97">
          <w:rPr>
            <w:rStyle w:val="11"/>
            <w:rFonts w:ascii="Segoe UI" w:hAnsi="Segoe UI" w:cs="Segoe UI"/>
            <w:sz w:val="18"/>
          </w:rPr>
          <w:t>.</w:t>
        </w:r>
        <w:r w:rsidR="00824A97">
          <w:rPr>
            <w:rStyle w:val="11"/>
            <w:rFonts w:ascii="Segoe UI" w:hAnsi="Segoe UI" w:cs="Segoe UI"/>
            <w:sz w:val="18"/>
            <w:lang w:val="en-US"/>
          </w:rPr>
          <w:t>rosreestr</w:t>
        </w:r>
        <w:r w:rsidR="00824A97" w:rsidRPr="00824A97">
          <w:rPr>
            <w:rStyle w:val="11"/>
            <w:rFonts w:ascii="Segoe UI" w:hAnsi="Segoe UI" w:cs="Segoe UI"/>
            <w:sz w:val="18"/>
          </w:rPr>
          <w:t>.</w:t>
        </w:r>
        <w:r w:rsidR="00824A97">
          <w:rPr>
            <w:rStyle w:val="11"/>
            <w:rFonts w:ascii="Segoe UI" w:hAnsi="Segoe UI" w:cs="Segoe UI"/>
            <w:sz w:val="18"/>
            <w:lang w:val="en-US"/>
          </w:rPr>
          <w:t>ru</w:t>
        </w:r>
      </w:hyperlink>
      <w:r w:rsidR="00824A97" w:rsidRPr="00824A97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4B7AB7" w:rsidRPr="00824A97" w:rsidRDefault="00824A9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824A97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824A97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4B7AB7" w:rsidRDefault="00824A97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r w:rsidRPr="00824A97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11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1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824A97">
          <w:rPr>
            <w:rStyle w:val="11"/>
            <w:rFonts w:ascii="Segoe UI" w:hAnsi="Segoe UI" w:cs="Segoe UI"/>
          </w:rPr>
          <w:t>Яндекс</w:t>
        </w:r>
        <w:proofErr w:type="gramStart"/>
        <w:r>
          <w:rPr>
            <w:rStyle w:val="11"/>
            <w:rFonts w:ascii="Segoe UI" w:hAnsi="Segoe UI" w:cs="Segoe UI"/>
          </w:rPr>
          <w:t>.</w:t>
        </w:r>
        <w:r w:rsidRPr="00824A97">
          <w:rPr>
            <w:rStyle w:val="11"/>
            <w:rFonts w:ascii="Segoe UI" w:hAnsi="Segoe UI" w:cs="Segoe UI"/>
          </w:rPr>
          <w:t>Д</w:t>
        </w:r>
        <w:proofErr w:type="gramEnd"/>
        <w:r w:rsidRPr="00824A97">
          <w:rPr>
            <w:rStyle w:val="11"/>
            <w:rFonts w:ascii="Segoe UI" w:hAnsi="Segoe UI" w:cs="Segoe UI"/>
          </w:rPr>
          <w:t>зен</w:t>
        </w:r>
        <w:proofErr w:type="spellEnd"/>
      </w:hyperlink>
      <w:r>
        <w:rPr>
          <w:rStyle w:val="11"/>
          <w:rFonts w:ascii="Segoe UI" w:hAnsi="Segoe UI" w:cs="Segoe UI"/>
        </w:rPr>
        <w:t xml:space="preserve">, </w:t>
      </w:r>
      <w:hyperlink r:id="rId13" w:history="1">
        <w:proofErr w:type="spellStart"/>
        <w:r>
          <w:rPr>
            <w:rStyle w:val="11"/>
            <w:rFonts w:ascii="Segoe UI" w:hAnsi="Segoe UI" w:cs="Segoe UI"/>
          </w:rPr>
          <w:t>Телеграм</w:t>
        </w:r>
        <w:proofErr w:type="spellEnd"/>
      </w:hyperlink>
    </w:p>
    <w:p w:rsidR="004B7AB7" w:rsidRDefault="004B7AB7">
      <w:pPr>
        <w:jc w:val="both"/>
      </w:pPr>
    </w:p>
    <w:p w:rsidR="004B7AB7" w:rsidRDefault="004B7AB7">
      <w:pPr>
        <w:jc w:val="both"/>
        <w:rPr>
          <w:rFonts w:ascii="PT Astra Serif" w:hAnsi="PT Astra Serif" w:cs="PT Astra Serif"/>
          <w:bCs/>
          <w:i/>
          <w:sz w:val="28"/>
          <w:szCs w:val="28"/>
        </w:rPr>
      </w:pPr>
    </w:p>
    <w:p w:rsidR="004B7AB7" w:rsidRDefault="004B7AB7">
      <w:pPr>
        <w:jc w:val="both"/>
        <w:rPr>
          <w:rFonts w:ascii="PT Astra Serif" w:hAnsi="PT Astra Serif" w:cs="PT Astra Serif"/>
        </w:rPr>
      </w:pPr>
    </w:p>
    <w:p w:rsidR="004B7AB7" w:rsidRDefault="004B7AB7">
      <w:pPr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:rsidR="004B7AB7" w:rsidRDefault="004B7AB7">
      <w:pPr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:rsidR="004B7AB7" w:rsidRDefault="004B7AB7">
      <w:pPr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:rsidR="004B7AB7" w:rsidRDefault="004B7AB7">
      <w:pPr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:rsidR="004B7AB7" w:rsidRDefault="004B7AB7">
      <w:pPr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:rsidR="004B7AB7" w:rsidRDefault="004B7AB7">
      <w:pPr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:rsidR="004B7AB7" w:rsidRDefault="004B7AB7">
      <w:pPr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:rsidR="004B7AB7" w:rsidRDefault="004B7AB7">
      <w:pPr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:rsidR="004B7AB7" w:rsidRDefault="004B7AB7">
      <w:pPr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:rsidR="004B7AB7" w:rsidRDefault="004B7AB7">
      <w:pPr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:rsidR="004B7AB7" w:rsidRDefault="00824A97">
      <w:pPr>
        <w:jc w:val="both"/>
        <w:rPr>
          <w:rFonts w:ascii="PT Astra Serif" w:eastAsia="PT Astra Serif" w:hAnsi="PT Astra Serif" w:cs="PT Astra Serif"/>
          <w:sz w:val="24"/>
          <w:szCs w:val="24"/>
        </w:rPr>
      </w:pPr>
      <w:proofErr w:type="spellStart"/>
      <w:r>
        <w:rPr>
          <w:rFonts w:ascii="PT Astra Serif" w:eastAsia="PT Astra Serif" w:hAnsi="PT Astra Serif" w:cs="PT Astra Serif"/>
          <w:sz w:val="24"/>
          <w:szCs w:val="24"/>
        </w:rPr>
        <w:t>Дибирдеев</w:t>
      </w:r>
      <w:proofErr w:type="spellEnd"/>
      <w:r>
        <w:rPr>
          <w:rFonts w:ascii="PT Astra Serif" w:eastAsia="PT Astra Serif" w:hAnsi="PT Astra Serif" w:cs="PT Astra Serif"/>
          <w:sz w:val="24"/>
          <w:szCs w:val="24"/>
        </w:rPr>
        <w:t xml:space="preserve"> Алексей Валерьевич</w:t>
      </w:r>
    </w:p>
    <w:p w:rsidR="004B7AB7" w:rsidRDefault="00824A97">
      <w:pPr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sz w:val="24"/>
          <w:szCs w:val="24"/>
          <w:lang w:val="en-US"/>
        </w:rPr>
        <w:t>IP 6</w:t>
      </w:r>
      <w:r>
        <w:rPr>
          <w:rFonts w:ascii="PT Astra Serif" w:eastAsia="PT Astra Serif" w:hAnsi="PT Astra Serif" w:cs="PT Astra Serif"/>
          <w:sz w:val="24"/>
          <w:szCs w:val="24"/>
        </w:rPr>
        <w:t>4</w:t>
      </w:r>
      <w:r>
        <w:rPr>
          <w:rFonts w:ascii="PT Astra Serif" w:eastAsia="PT Astra Serif" w:hAnsi="PT Astra Serif" w:cs="PT Astra Serif"/>
          <w:sz w:val="24"/>
          <w:szCs w:val="24"/>
          <w:lang w:val="en-US"/>
        </w:rPr>
        <w:t>211</w:t>
      </w:r>
    </w:p>
    <w:sectPr w:rsidR="004B7AB7" w:rsidSect="004B7AB7">
      <w:headerReference w:type="even" r:id="rId14"/>
      <w:headerReference w:type="default" r:id="rId15"/>
      <w:footerReference w:type="default" r:id="rId1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AB7" w:rsidRDefault="00824A97">
      <w:r>
        <w:separator/>
      </w:r>
    </w:p>
  </w:endnote>
  <w:endnote w:type="continuationSeparator" w:id="0">
    <w:p w:rsidR="004B7AB7" w:rsidRDefault="00824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AB7" w:rsidRDefault="004B7AB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AB7" w:rsidRDefault="00824A97">
      <w:r>
        <w:separator/>
      </w:r>
    </w:p>
  </w:footnote>
  <w:footnote w:type="continuationSeparator" w:id="0">
    <w:p w:rsidR="004B7AB7" w:rsidRDefault="00824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AB7" w:rsidRDefault="004B7AB7">
    <w:pPr>
      <w:pStyle w:val="Header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824A97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4B7AB7" w:rsidRDefault="004B7A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AB7" w:rsidRDefault="004B7AB7">
    <w:pPr>
      <w:pStyle w:val="Header"/>
      <w:jc w:val="center"/>
    </w:pPr>
  </w:p>
  <w:p w:rsidR="004B7AB7" w:rsidRDefault="004B7A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F5525"/>
    <w:multiLevelType w:val="hybridMultilevel"/>
    <w:tmpl w:val="6568AABE"/>
    <w:lvl w:ilvl="0" w:tplc="D3FC041A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C986CD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61C2AE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0165D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9B855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C20D1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6003D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8D801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7E9489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544F2B86"/>
    <w:multiLevelType w:val="hybridMultilevel"/>
    <w:tmpl w:val="E62CC972"/>
    <w:lvl w:ilvl="0" w:tplc="BEEE2B5E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040CA3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388C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B43C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540A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F210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3089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70C1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76DE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AB7"/>
    <w:rsid w:val="004B7AB7"/>
    <w:rsid w:val="0082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4B7AB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4B7AB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4B7AB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4B7AB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4B7AB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4B7AB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4B7AB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4B7AB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4B7AB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4B7AB7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4B7AB7"/>
    <w:rPr>
      <w:sz w:val="24"/>
      <w:szCs w:val="24"/>
    </w:rPr>
  </w:style>
  <w:style w:type="character" w:customStyle="1" w:styleId="QuoteChar">
    <w:name w:val="Quote Char"/>
    <w:link w:val="2"/>
    <w:uiPriority w:val="29"/>
    <w:rsid w:val="004B7AB7"/>
    <w:rPr>
      <w:i/>
    </w:rPr>
  </w:style>
  <w:style w:type="character" w:customStyle="1" w:styleId="IntenseQuoteChar">
    <w:name w:val="Intense Quote Char"/>
    <w:link w:val="a5"/>
    <w:uiPriority w:val="30"/>
    <w:rsid w:val="004B7AB7"/>
    <w:rPr>
      <w:i/>
    </w:rPr>
  </w:style>
  <w:style w:type="character" w:customStyle="1" w:styleId="CaptionChar">
    <w:name w:val="Caption Char"/>
    <w:link w:val="Footer"/>
    <w:uiPriority w:val="99"/>
    <w:rsid w:val="004B7AB7"/>
  </w:style>
  <w:style w:type="character" w:customStyle="1" w:styleId="FootnoteTextChar">
    <w:name w:val="Footnote Text Char"/>
    <w:link w:val="a6"/>
    <w:uiPriority w:val="99"/>
    <w:rsid w:val="004B7AB7"/>
    <w:rPr>
      <w:sz w:val="18"/>
    </w:rPr>
  </w:style>
  <w:style w:type="character" w:customStyle="1" w:styleId="EndnoteTextChar">
    <w:name w:val="Endnote Text Char"/>
    <w:link w:val="a7"/>
    <w:uiPriority w:val="99"/>
    <w:rsid w:val="004B7AB7"/>
    <w:rPr>
      <w:sz w:val="20"/>
    </w:rPr>
  </w:style>
  <w:style w:type="paragraph" w:customStyle="1" w:styleId="Heading1">
    <w:name w:val="Heading 1"/>
    <w:basedOn w:val="a"/>
    <w:next w:val="a"/>
    <w:link w:val="10"/>
    <w:uiPriority w:val="9"/>
    <w:qFormat/>
    <w:rsid w:val="004B7AB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0"/>
    <w:uiPriority w:val="9"/>
    <w:unhideWhenUsed/>
    <w:qFormat/>
    <w:rsid w:val="004B7AB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4B7AB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4B7AB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4B7AB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4B7AB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4B7AB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4B7AB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4B7AB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0">
    <w:name w:val="Заголовок 1 Знак"/>
    <w:link w:val="Heading1"/>
    <w:uiPriority w:val="9"/>
    <w:rsid w:val="004B7AB7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Heading2"/>
    <w:uiPriority w:val="9"/>
    <w:rsid w:val="004B7AB7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4B7AB7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4B7AB7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4B7AB7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4B7AB7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4B7AB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4B7AB7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4B7AB7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4B7AB7"/>
    <w:pPr>
      <w:ind w:left="720"/>
      <w:contextualSpacing/>
    </w:pPr>
  </w:style>
  <w:style w:type="paragraph" w:styleId="a9">
    <w:name w:val="No Spacing"/>
    <w:uiPriority w:val="1"/>
    <w:qFormat/>
    <w:rsid w:val="004B7AB7"/>
    <w:rPr>
      <w:lang w:eastAsia="zh-CN"/>
    </w:rPr>
  </w:style>
  <w:style w:type="paragraph" w:styleId="a3">
    <w:name w:val="Title"/>
    <w:basedOn w:val="a"/>
    <w:next w:val="a"/>
    <w:link w:val="aa"/>
    <w:uiPriority w:val="10"/>
    <w:qFormat/>
    <w:rsid w:val="004B7AB7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link w:val="a3"/>
    <w:uiPriority w:val="10"/>
    <w:rsid w:val="004B7AB7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4B7AB7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4"/>
    <w:uiPriority w:val="11"/>
    <w:rsid w:val="004B7AB7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rsid w:val="004B7AB7"/>
    <w:pPr>
      <w:ind w:left="720" w:right="720"/>
    </w:pPr>
    <w:rPr>
      <w:i/>
    </w:rPr>
  </w:style>
  <w:style w:type="character" w:customStyle="1" w:styleId="21">
    <w:name w:val="Цитата 2 Знак"/>
    <w:link w:val="2"/>
    <w:uiPriority w:val="29"/>
    <w:rsid w:val="004B7AB7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4B7AB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4B7AB7"/>
    <w:rPr>
      <w:i/>
    </w:rPr>
  </w:style>
  <w:style w:type="paragraph" w:customStyle="1" w:styleId="Header">
    <w:name w:val="Header"/>
    <w:basedOn w:val="a"/>
    <w:link w:val="ad"/>
    <w:uiPriority w:val="99"/>
    <w:rsid w:val="004B7AB7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4B7AB7"/>
  </w:style>
  <w:style w:type="paragraph" w:customStyle="1" w:styleId="Footer">
    <w:name w:val="Footer"/>
    <w:basedOn w:val="a"/>
    <w:link w:val="ae"/>
    <w:rsid w:val="004B7AB7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4B7AB7"/>
  </w:style>
  <w:style w:type="paragraph" w:customStyle="1" w:styleId="Caption">
    <w:name w:val="Caption"/>
    <w:basedOn w:val="a"/>
    <w:next w:val="a"/>
    <w:link w:val="af"/>
    <w:uiPriority w:val="35"/>
    <w:semiHidden/>
    <w:unhideWhenUsed/>
    <w:qFormat/>
    <w:rsid w:val="004B7AB7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Caption"/>
    <w:uiPriority w:val="99"/>
    <w:rsid w:val="004B7AB7"/>
  </w:style>
  <w:style w:type="table" w:styleId="af0">
    <w:name w:val="Table Grid"/>
    <w:basedOn w:val="a1"/>
    <w:uiPriority w:val="39"/>
    <w:rsid w:val="004B7AB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B7AB7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B7AB7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4B7AB7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4B7AB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4B7AB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4B7AB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4B7AB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4B7AB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4B7AB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4B7AB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4B7AB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4B7AB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4B7AB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4B7AB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4B7AB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link w:val="11"/>
    <w:uiPriority w:val="99"/>
    <w:rsid w:val="004B7AB7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4B7AB7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4B7AB7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4B7AB7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4B7AB7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4B7AB7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4B7AB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sid w:val="004B7AB7"/>
    <w:rPr>
      <w:rFonts w:ascii="Verdana" w:hAnsi="Verdana"/>
      <w:color w:val="0000FF"/>
      <w:u w:val="single"/>
      <w:lang w:val="en-US" w:eastAsia="en-US" w:bidi="ar-SA"/>
    </w:rPr>
  </w:style>
  <w:style w:type="paragraph" w:styleId="a6">
    <w:name w:val="footnote text"/>
    <w:basedOn w:val="a"/>
    <w:link w:val="af2"/>
    <w:uiPriority w:val="99"/>
    <w:semiHidden/>
    <w:unhideWhenUsed/>
    <w:rsid w:val="004B7AB7"/>
    <w:pPr>
      <w:spacing w:after="40"/>
    </w:pPr>
    <w:rPr>
      <w:sz w:val="18"/>
    </w:rPr>
  </w:style>
  <w:style w:type="character" w:customStyle="1" w:styleId="af2">
    <w:name w:val="Текст сноски Знак"/>
    <w:link w:val="a6"/>
    <w:uiPriority w:val="99"/>
    <w:rsid w:val="004B7AB7"/>
    <w:rPr>
      <w:sz w:val="18"/>
    </w:rPr>
  </w:style>
  <w:style w:type="character" w:styleId="af3">
    <w:name w:val="footnote reference"/>
    <w:uiPriority w:val="99"/>
    <w:unhideWhenUsed/>
    <w:rsid w:val="004B7AB7"/>
    <w:rPr>
      <w:vertAlign w:val="superscript"/>
    </w:rPr>
  </w:style>
  <w:style w:type="paragraph" w:styleId="a7">
    <w:name w:val="endnote text"/>
    <w:basedOn w:val="a"/>
    <w:link w:val="af4"/>
    <w:uiPriority w:val="99"/>
    <w:semiHidden/>
    <w:unhideWhenUsed/>
    <w:rsid w:val="004B7AB7"/>
  </w:style>
  <w:style w:type="character" w:customStyle="1" w:styleId="af4">
    <w:name w:val="Текст концевой сноски Знак"/>
    <w:link w:val="a7"/>
    <w:uiPriority w:val="99"/>
    <w:rsid w:val="004B7AB7"/>
    <w:rPr>
      <w:sz w:val="20"/>
    </w:rPr>
  </w:style>
  <w:style w:type="character" w:styleId="af5">
    <w:name w:val="endnote reference"/>
    <w:uiPriority w:val="99"/>
    <w:semiHidden/>
    <w:unhideWhenUsed/>
    <w:rsid w:val="004B7AB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B7AB7"/>
    <w:pPr>
      <w:spacing w:after="57"/>
    </w:pPr>
  </w:style>
  <w:style w:type="paragraph" w:styleId="22">
    <w:name w:val="toc 2"/>
    <w:basedOn w:val="a"/>
    <w:next w:val="a"/>
    <w:uiPriority w:val="39"/>
    <w:unhideWhenUsed/>
    <w:rsid w:val="004B7AB7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4B7AB7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4B7AB7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4B7AB7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4B7AB7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4B7AB7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4B7AB7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4B7AB7"/>
    <w:pPr>
      <w:spacing w:after="57"/>
      <w:ind w:left="2268"/>
    </w:pPr>
  </w:style>
  <w:style w:type="paragraph" w:styleId="af6">
    <w:name w:val="TOC Heading"/>
    <w:uiPriority w:val="39"/>
    <w:unhideWhenUsed/>
    <w:rsid w:val="004B7AB7"/>
    <w:rPr>
      <w:lang w:eastAsia="zh-CN"/>
    </w:rPr>
  </w:style>
  <w:style w:type="paragraph" w:styleId="af7">
    <w:name w:val="table of figures"/>
    <w:basedOn w:val="a"/>
    <w:next w:val="a"/>
    <w:uiPriority w:val="99"/>
    <w:unhideWhenUsed/>
    <w:rsid w:val="004B7AB7"/>
  </w:style>
  <w:style w:type="paragraph" w:customStyle="1" w:styleId="1">
    <w:name w:val="Знак1"/>
    <w:basedOn w:val="a"/>
    <w:semiHidden/>
    <w:rsid w:val="004B7AB7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8">
    <w:name w:val="Balloon Text"/>
    <w:basedOn w:val="a"/>
    <w:semiHidden/>
    <w:rsid w:val="004B7AB7"/>
    <w:rPr>
      <w:rFonts w:ascii="Tahoma" w:hAnsi="Tahoma" w:cs="Tahoma"/>
      <w:sz w:val="16"/>
      <w:szCs w:val="16"/>
    </w:rPr>
  </w:style>
  <w:style w:type="character" w:styleId="af9">
    <w:name w:val="page number"/>
    <w:basedOn w:val="a0"/>
    <w:rsid w:val="004B7AB7"/>
  </w:style>
  <w:style w:type="character" w:customStyle="1" w:styleId="apple-style-span">
    <w:name w:val="apple-style-span"/>
    <w:basedOn w:val="a0"/>
    <w:rsid w:val="004B7AB7"/>
  </w:style>
  <w:style w:type="character" w:customStyle="1" w:styleId="ae">
    <w:name w:val="Нижний колонтитул Знак"/>
    <w:basedOn w:val="a0"/>
    <w:link w:val="Footer"/>
    <w:rsid w:val="004B7AB7"/>
  </w:style>
  <w:style w:type="character" w:customStyle="1" w:styleId="ad">
    <w:name w:val="Верхний колонтитул Знак"/>
    <w:link w:val="Header"/>
    <w:uiPriority w:val="99"/>
    <w:rsid w:val="004B7AB7"/>
  </w:style>
  <w:style w:type="character" w:customStyle="1" w:styleId="11">
    <w:name w:val="Гиперссылка1"/>
    <w:link w:val="BorderedLined-Accent1"/>
    <w:rsid w:val="004B7A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3661</Characters>
  <Application>Microsoft Office Word</Application>
  <DocSecurity>0</DocSecurity>
  <Lines>30</Lines>
  <Paragraphs>8</Paragraphs>
  <ScaleCrop>false</ScaleCrop>
  <Company>Computer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111</cp:revision>
  <dcterms:created xsi:type="dcterms:W3CDTF">2016-08-11T07:50:00Z</dcterms:created>
  <dcterms:modified xsi:type="dcterms:W3CDTF">2026-02-24T01:32:00Z</dcterms:modified>
  <cp:version>1048576</cp:version>
</cp:coreProperties>
</file>